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2589" w:rsidRPr="00A63D72" w:rsidRDefault="00A52589" w:rsidP="00A63D72">
      <w:pPr>
        <w:jc w:val="center"/>
        <w:rPr>
          <w:rFonts w:ascii="Times New Roman" w:hAnsi="Times New Roman" w:cs="Times New Roman"/>
          <w:sz w:val="24"/>
          <w:szCs w:val="24"/>
          <w:shd w:val="clear" w:color="auto" w:fill="FFFFFF"/>
        </w:rPr>
      </w:pPr>
    </w:p>
    <w:p w:rsidR="00A52589" w:rsidRPr="00A63D72" w:rsidRDefault="00A52589" w:rsidP="00A63D72">
      <w:pPr>
        <w:jc w:val="center"/>
        <w:rPr>
          <w:rFonts w:ascii="Times New Roman" w:hAnsi="Times New Roman" w:cs="Times New Roman"/>
          <w:sz w:val="24"/>
          <w:szCs w:val="24"/>
          <w:shd w:val="clear" w:color="auto" w:fill="FFFFFF"/>
        </w:rPr>
      </w:pPr>
    </w:p>
    <w:p w:rsidR="00A52589" w:rsidRPr="00A63D72" w:rsidRDefault="00A52589" w:rsidP="00A63D72">
      <w:pPr>
        <w:jc w:val="center"/>
        <w:rPr>
          <w:rFonts w:ascii="Times New Roman" w:hAnsi="Times New Roman" w:cs="Times New Roman"/>
          <w:sz w:val="24"/>
          <w:szCs w:val="24"/>
          <w:shd w:val="clear" w:color="auto" w:fill="FFFFFF"/>
        </w:rPr>
      </w:pPr>
    </w:p>
    <w:p w:rsidR="00A52589" w:rsidRPr="00A63D72" w:rsidRDefault="00A52589" w:rsidP="00A63D72">
      <w:pPr>
        <w:jc w:val="center"/>
        <w:rPr>
          <w:rFonts w:ascii="Times New Roman" w:hAnsi="Times New Roman" w:cs="Times New Roman"/>
          <w:sz w:val="24"/>
          <w:szCs w:val="24"/>
          <w:shd w:val="clear" w:color="auto" w:fill="FFFFFF"/>
        </w:rPr>
      </w:pPr>
    </w:p>
    <w:p w:rsidR="00A52589" w:rsidRPr="00A63D72" w:rsidRDefault="00A52589" w:rsidP="00A63D72">
      <w:pPr>
        <w:jc w:val="center"/>
        <w:rPr>
          <w:rFonts w:ascii="Times New Roman" w:hAnsi="Times New Roman" w:cs="Times New Roman"/>
          <w:sz w:val="24"/>
          <w:szCs w:val="24"/>
          <w:shd w:val="clear" w:color="auto" w:fill="FFFFFF"/>
        </w:rPr>
      </w:pPr>
    </w:p>
    <w:p w:rsidR="00A52589" w:rsidRPr="00A63D72" w:rsidRDefault="00A52589" w:rsidP="00A63D72">
      <w:pPr>
        <w:jc w:val="center"/>
        <w:rPr>
          <w:rFonts w:ascii="Times New Roman" w:hAnsi="Times New Roman" w:cs="Times New Roman"/>
          <w:sz w:val="24"/>
          <w:szCs w:val="24"/>
          <w:shd w:val="clear" w:color="auto" w:fill="FFFFFF"/>
        </w:rPr>
      </w:pPr>
    </w:p>
    <w:p w:rsidR="00A52589" w:rsidRPr="00A63D72" w:rsidRDefault="00A52589" w:rsidP="00A63D72">
      <w:pPr>
        <w:jc w:val="center"/>
        <w:rPr>
          <w:rFonts w:ascii="Times New Roman" w:hAnsi="Times New Roman" w:cs="Times New Roman"/>
          <w:sz w:val="24"/>
          <w:szCs w:val="24"/>
          <w:shd w:val="clear" w:color="auto" w:fill="FFFFFF"/>
        </w:rPr>
      </w:pPr>
    </w:p>
    <w:p w:rsidR="00A52589" w:rsidRPr="00A63D72" w:rsidRDefault="00A52589" w:rsidP="00A63D72">
      <w:pPr>
        <w:jc w:val="center"/>
        <w:rPr>
          <w:rFonts w:ascii="Times New Roman" w:hAnsi="Times New Roman" w:cs="Times New Roman"/>
          <w:sz w:val="24"/>
          <w:szCs w:val="24"/>
          <w:shd w:val="clear" w:color="auto" w:fill="FFFFFF"/>
        </w:rPr>
      </w:pPr>
    </w:p>
    <w:p w:rsidR="00A52589" w:rsidRPr="00A63D72" w:rsidRDefault="00A52589" w:rsidP="00A63D72">
      <w:pPr>
        <w:jc w:val="center"/>
        <w:rPr>
          <w:rFonts w:ascii="Times New Roman" w:hAnsi="Times New Roman" w:cs="Times New Roman"/>
          <w:sz w:val="24"/>
          <w:szCs w:val="24"/>
          <w:shd w:val="clear" w:color="auto" w:fill="FFFFFF"/>
        </w:rPr>
      </w:pPr>
    </w:p>
    <w:p w:rsidR="00AD295B" w:rsidRPr="00A63D72" w:rsidRDefault="006F74AF" w:rsidP="00A63D72">
      <w:pPr>
        <w:jc w:val="center"/>
        <w:rPr>
          <w:rFonts w:ascii="Times New Roman" w:hAnsi="Times New Roman" w:cs="Times New Roman"/>
          <w:sz w:val="24"/>
          <w:szCs w:val="24"/>
          <w:shd w:val="clear" w:color="auto" w:fill="FFFFFF"/>
        </w:rPr>
      </w:pPr>
      <w:r w:rsidRPr="00A63D72">
        <w:rPr>
          <w:rFonts w:ascii="Times New Roman" w:hAnsi="Times New Roman" w:cs="Times New Roman"/>
          <w:sz w:val="24"/>
          <w:szCs w:val="24"/>
          <w:shd w:val="clear" w:color="auto" w:fill="FFFFFF"/>
        </w:rPr>
        <w:t>Billing Work Flow in Health Care</w:t>
      </w:r>
    </w:p>
    <w:p w:rsidR="00A52589" w:rsidRPr="00A63D72" w:rsidRDefault="006F74AF" w:rsidP="00A63D72">
      <w:pPr>
        <w:jc w:val="center"/>
        <w:rPr>
          <w:rFonts w:ascii="Times New Roman" w:hAnsi="Times New Roman" w:cs="Times New Roman"/>
          <w:sz w:val="24"/>
          <w:szCs w:val="24"/>
          <w:shd w:val="clear" w:color="auto" w:fill="FFFFFF"/>
        </w:rPr>
      </w:pPr>
      <w:r w:rsidRPr="00A63D72">
        <w:rPr>
          <w:rFonts w:ascii="Times New Roman" w:hAnsi="Times New Roman" w:cs="Times New Roman"/>
          <w:sz w:val="24"/>
          <w:szCs w:val="24"/>
          <w:shd w:val="clear" w:color="auto" w:fill="FFFFFF"/>
        </w:rPr>
        <w:t>Name</w:t>
      </w:r>
    </w:p>
    <w:p w:rsidR="00A52589" w:rsidRPr="00A63D72" w:rsidRDefault="006F74AF" w:rsidP="00A63D72">
      <w:pPr>
        <w:jc w:val="center"/>
        <w:rPr>
          <w:rFonts w:ascii="Times New Roman" w:hAnsi="Times New Roman" w:cs="Times New Roman"/>
          <w:sz w:val="24"/>
          <w:szCs w:val="24"/>
          <w:shd w:val="clear" w:color="auto" w:fill="FFFFFF"/>
        </w:rPr>
      </w:pPr>
      <w:r w:rsidRPr="00A63D72">
        <w:rPr>
          <w:rFonts w:ascii="Times New Roman" w:hAnsi="Times New Roman" w:cs="Times New Roman"/>
          <w:sz w:val="24"/>
          <w:szCs w:val="24"/>
          <w:shd w:val="clear" w:color="auto" w:fill="FFFFFF"/>
        </w:rPr>
        <w:t>Institutional Affiliations</w:t>
      </w:r>
    </w:p>
    <w:p w:rsidR="00AD295B" w:rsidRPr="00A63D72" w:rsidRDefault="00AD295B" w:rsidP="00A63D72">
      <w:pPr>
        <w:jc w:val="center"/>
        <w:rPr>
          <w:rFonts w:ascii="Times New Roman" w:hAnsi="Times New Roman" w:cs="Times New Roman"/>
          <w:sz w:val="24"/>
          <w:szCs w:val="24"/>
          <w:shd w:val="clear" w:color="auto" w:fill="FFFFFF"/>
        </w:rPr>
      </w:pPr>
    </w:p>
    <w:p w:rsidR="00AD295B" w:rsidRPr="00A63D72" w:rsidRDefault="00AD295B" w:rsidP="00A63D72">
      <w:pPr>
        <w:jc w:val="center"/>
        <w:rPr>
          <w:rFonts w:ascii="Times New Roman" w:hAnsi="Times New Roman" w:cs="Times New Roman"/>
          <w:sz w:val="24"/>
          <w:szCs w:val="24"/>
          <w:shd w:val="clear" w:color="auto" w:fill="FFFFFF"/>
        </w:rPr>
      </w:pPr>
    </w:p>
    <w:p w:rsidR="00AD295B" w:rsidRPr="00A63D72" w:rsidRDefault="00AD295B" w:rsidP="00A63D72">
      <w:pPr>
        <w:jc w:val="center"/>
        <w:rPr>
          <w:rFonts w:ascii="Times New Roman" w:hAnsi="Times New Roman" w:cs="Times New Roman"/>
          <w:sz w:val="24"/>
          <w:szCs w:val="24"/>
          <w:shd w:val="clear" w:color="auto" w:fill="FFFFFF"/>
        </w:rPr>
      </w:pPr>
    </w:p>
    <w:p w:rsidR="00AD295B" w:rsidRPr="00A63D72" w:rsidRDefault="00AD295B" w:rsidP="00A63D72">
      <w:pPr>
        <w:jc w:val="center"/>
        <w:rPr>
          <w:rFonts w:ascii="Times New Roman" w:hAnsi="Times New Roman" w:cs="Times New Roman"/>
          <w:sz w:val="24"/>
          <w:szCs w:val="24"/>
          <w:shd w:val="clear" w:color="auto" w:fill="FFFFFF"/>
        </w:rPr>
      </w:pPr>
    </w:p>
    <w:p w:rsidR="00AD295B" w:rsidRPr="00A63D72" w:rsidRDefault="00AD295B" w:rsidP="00A63D72">
      <w:pPr>
        <w:jc w:val="center"/>
        <w:rPr>
          <w:rFonts w:ascii="Times New Roman" w:hAnsi="Times New Roman" w:cs="Times New Roman"/>
          <w:sz w:val="24"/>
          <w:szCs w:val="24"/>
          <w:shd w:val="clear" w:color="auto" w:fill="FFFFFF"/>
        </w:rPr>
      </w:pPr>
    </w:p>
    <w:p w:rsidR="00AD295B" w:rsidRPr="00A63D72" w:rsidRDefault="00AD295B" w:rsidP="00A63D72">
      <w:pPr>
        <w:jc w:val="center"/>
        <w:rPr>
          <w:rFonts w:ascii="Times New Roman" w:hAnsi="Times New Roman" w:cs="Times New Roman"/>
          <w:sz w:val="24"/>
          <w:szCs w:val="24"/>
          <w:shd w:val="clear" w:color="auto" w:fill="FFFFFF"/>
        </w:rPr>
      </w:pPr>
      <w:bookmarkStart w:id="0" w:name="_GoBack"/>
      <w:bookmarkEnd w:id="0"/>
    </w:p>
    <w:p w:rsidR="00AD295B" w:rsidRPr="00A63D72" w:rsidRDefault="00AD295B" w:rsidP="00A63D72">
      <w:pPr>
        <w:jc w:val="center"/>
        <w:rPr>
          <w:rFonts w:ascii="Times New Roman" w:hAnsi="Times New Roman" w:cs="Times New Roman"/>
          <w:sz w:val="24"/>
          <w:szCs w:val="24"/>
          <w:shd w:val="clear" w:color="auto" w:fill="FFFFFF"/>
        </w:rPr>
      </w:pPr>
    </w:p>
    <w:p w:rsidR="00A52589" w:rsidRPr="00A63D72" w:rsidRDefault="00A52589" w:rsidP="00A63D72">
      <w:pPr>
        <w:jc w:val="center"/>
        <w:rPr>
          <w:rFonts w:ascii="Times New Roman" w:hAnsi="Times New Roman" w:cs="Times New Roman"/>
          <w:sz w:val="24"/>
          <w:szCs w:val="24"/>
          <w:shd w:val="clear" w:color="auto" w:fill="FFFFFF"/>
        </w:rPr>
      </w:pPr>
    </w:p>
    <w:p w:rsidR="00A52589" w:rsidRPr="00A63D72" w:rsidRDefault="00A52589" w:rsidP="00A63D72">
      <w:pPr>
        <w:jc w:val="center"/>
        <w:rPr>
          <w:rFonts w:ascii="Times New Roman" w:hAnsi="Times New Roman" w:cs="Times New Roman"/>
          <w:sz w:val="24"/>
          <w:szCs w:val="24"/>
          <w:shd w:val="clear" w:color="auto" w:fill="FFFFFF"/>
        </w:rPr>
      </w:pPr>
    </w:p>
    <w:p w:rsidR="00A52589" w:rsidRPr="00A63D72" w:rsidRDefault="00A52589" w:rsidP="00A63D72">
      <w:pPr>
        <w:jc w:val="center"/>
        <w:rPr>
          <w:rFonts w:ascii="Times New Roman" w:hAnsi="Times New Roman" w:cs="Times New Roman"/>
          <w:sz w:val="24"/>
          <w:szCs w:val="24"/>
          <w:shd w:val="clear" w:color="auto" w:fill="FFFFFF"/>
        </w:rPr>
      </w:pPr>
    </w:p>
    <w:p w:rsidR="00A52589" w:rsidRPr="00A63D72" w:rsidRDefault="00A52589" w:rsidP="00A63D72">
      <w:pPr>
        <w:jc w:val="center"/>
        <w:rPr>
          <w:rFonts w:ascii="Times New Roman" w:hAnsi="Times New Roman" w:cs="Times New Roman"/>
          <w:sz w:val="24"/>
          <w:szCs w:val="24"/>
          <w:shd w:val="clear" w:color="auto" w:fill="FFFFFF"/>
        </w:rPr>
      </w:pPr>
    </w:p>
    <w:p w:rsidR="00B65642" w:rsidRPr="00A63D72" w:rsidRDefault="006F74AF" w:rsidP="00A63D72">
      <w:pPr>
        <w:jc w:val="center"/>
        <w:rPr>
          <w:rFonts w:ascii="Times New Roman" w:hAnsi="Times New Roman" w:cs="Times New Roman"/>
          <w:sz w:val="24"/>
          <w:szCs w:val="24"/>
          <w:shd w:val="clear" w:color="auto" w:fill="FFFFFF"/>
        </w:rPr>
      </w:pPr>
      <w:r w:rsidRPr="00A63D72">
        <w:rPr>
          <w:rFonts w:ascii="Times New Roman" w:hAnsi="Times New Roman" w:cs="Times New Roman"/>
          <w:sz w:val="24"/>
          <w:szCs w:val="24"/>
          <w:shd w:val="clear" w:color="auto" w:fill="FFFFFF"/>
        </w:rPr>
        <w:lastRenderedPageBreak/>
        <w:t>Billing Work Flow in Health Care</w:t>
      </w:r>
    </w:p>
    <w:p w:rsidR="00924EB4" w:rsidRPr="00A63D72" w:rsidRDefault="006F74AF" w:rsidP="00485018">
      <w:pPr>
        <w:rPr>
          <w:rFonts w:ascii="Times New Roman" w:hAnsi="Times New Roman" w:cs="Times New Roman"/>
          <w:b/>
          <w:sz w:val="24"/>
          <w:szCs w:val="24"/>
          <w:shd w:val="clear" w:color="auto" w:fill="FFFFFF"/>
        </w:rPr>
      </w:pPr>
      <w:r w:rsidRPr="00A63D72">
        <w:rPr>
          <w:rFonts w:ascii="Times New Roman" w:hAnsi="Times New Roman" w:cs="Times New Roman"/>
          <w:b/>
          <w:sz w:val="24"/>
          <w:szCs w:val="24"/>
          <w:shd w:val="clear" w:color="auto" w:fill="FFFFFF"/>
        </w:rPr>
        <w:t>Components</w:t>
      </w:r>
    </w:p>
    <w:p w:rsidR="00A52589" w:rsidRPr="00A63D72" w:rsidRDefault="006F74AF" w:rsidP="00A63D72">
      <w:pPr>
        <w:ind w:firstLine="720"/>
        <w:rPr>
          <w:rFonts w:ascii="Times New Roman" w:hAnsi="Times New Roman" w:cs="Times New Roman"/>
          <w:sz w:val="24"/>
          <w:szCs w:val="24"/>
          <w:shd w:val="clear" w:color="auto" w:fill="FFFFFF"/>
        </w:rPr>
      </w:pPr>
      <w:r w:rsidRPr="00A63D72">
        <w:rPr>
          <w:rFonts w:ascii="Times New Roman" w:hAnsi="Times New Roman" w:cs="Times New Roman"/>
          <w:sz w:val="24"/>
          <w:szCs w:val="24"/>
          <w:shd w:val="clear" w:color="auto" w:fill="FFFFFF"/>
        </w:rPr>
        <w:t>Billing workflow has two main components. These components are Copay and Remittance. Remittance is the actual rundown of the sum reimbursed in relat</w:t>
      </w:r>
      <w:r w:rsidR="00306D74" w:rsidRPr="00A63D72">
        <w:rPr>
          <w:rFonts w:ascii="Times New Roman" w:hAnsi="Times New Roman" w:cs="Times New Roman"/>
          <w:sz w:val="24"/>
          <w:szCs w:val="24"/>
          <w:shd w:val="clear" w:color="auto" w:fill="FFFFFF"/>
        </w:rPr>
        <w:t xml:space="preserve">ion to everyone whose cases have </w:t>
      </w:r>
      <w:r w:rsidRPr="00A63D72">
        <w:rPr>
          <w:rFonts w:ascii="Times New Roman" w:hAnsi="Times New Roman" w:cs="Times New Roman"/>
          <w:sz w:val="24"/>
          <w:szCs w:val="24"/>
          <w:shd w:val="clear" w:color="auto" w:fill="FFFFFF"/>
        </w:rPr>
        <w:t xml:space="preserve">been documented. The documentation process can be done by the </w:t>
      </w:r>
      <w:r w:rsidR="00306D74" w:rsidRPr="00A63D72">
        <w:rPr>
          <w:rFonts w:ascii="Times New Roman" w:hAnsi="Times New Roman" w:cs="Times New Roman"/>
          <w:sz w:val="24"/>
          <w:szCs w:val="24"/>
          <w:shd w:val="clear" w:color="auto" w:fill="FFFFFF"/>
        </w:rPr>
        <w:t>service providers at the health care institution or the individual. In return, the remittance is usually given the Provider Remittance advice (PRA) in addition to the kind supplier number before it is sent to the service providers at the healthcare (Berg, 2004).</w:t>
      </w:r>
    </w:p>
    <w:p w:rsidR="00306D74" w:rsidRPr="00A63D72" w:rsidRDefault="006F74AF" w:rsidP="00A63D72">
      <w:pPr>
        <w:ind w:firstLine="720"/>
        <w:rPr>
          <w:rFonts w:ascii="Times New Roman" w:hAnsi="Times New Roman" w:cs="Times New Roman"/>
          <w:sz w:val="24"/>
          <w:szCs w:val="24"/>
          <w:shd w:val="clear" w:color="auto" w:fill="FFFFFF"/>
        </w:rPr>
      </w:pPr>
      <w:r w:rsidRPr="00A63D72">
        <w:rPr>
          <w:rFonts w:ascii="Times New Roman" w:hAnsi="Times New Roman" w:cs="Times New Roman"/>
          <w:sz w:val="24"/>
          <w:szCs w:val="24"/>
          <w:shd w:val="clear" w:color="auto" w:fill="FFFFFF"/>
        </w:rPr>
        <w:t xml:space="preserve">On the other hand, the copay is the total amount an individual pays for the administration. The remaining amount is usually paid by the insurance providers. </w:t>
      </w:r>
      <w:r w:rsidR="00926C3D" w:rsidRPr="00A63D72">
        <w:rPr>
          <w:rFonts w:ascii="Times New Roman" w:hAnsi="Times New Roman" w:cs="Times New Roman"/>
          <w:sz w:val="24"/>
          <w:szCs w:val="24"/>
          <w:shd w:val="clear" w:color="auto" w:fill="FFFFFF"/>
        </w:rPr>
        <w:t xml:space="preserve">The sum in the Copay is usually part of the billing amount which is normally paid separately. In this approach, the total amount of services provided ban is grouped into two; the protection pay (paid by the insurance) and the Copay which is that amount paid by an individual. In most of the cases, the amount in the remittance does not equivocate to the billing amount. This means that if the amount remitted is less than the billed amount, an individual has to pay more in order to receive the services. </w:t>
      </w:r>
      <w:r w:rsidR="00924EB4" w:rsidRPr="00A63D72">
        <w:rPr>
          <w:rFonts w:ascii="Times New Roman" w:hAnsi="Times New Roman" w:cs="Times New Roman"/>
          <w:sz w:val="24"/>
          <w:szCs w:val="24"/>
          <w:shd w:val="clear" w:color="auto" w:fill="FFFFFF"/>
        </w:rPr>
        <w:t xml:space="preserve">With the Copay, the healthcare reimbursement is supported in such a way that it reduces the amount in the claim (Berg, 2004). </w:t>
      </w:r>
    </w:p>
    <w:p w:rsidR="00AD295B" w:rsidRPr="00A63D72" w:rsidRDefault="006F74AF" w:rsidP="00A63D72">
      <w:pPr>
        <w:ind w:firstLine="720"/>
        <w:rPr>
          <w:rFonts w:ascii="Times New Roman" w:hAnsi="Times New Roman" w:cs="Times New Roman"/>
          <w:b/>
          <w:sz w:val="24"/>
          <w:szCs w:val="24"/>
          <w:shd w:val="clear" w:color="auto" w:fill="FFFFFF"/>
        </w:rPr>
      </w:pPr>
      <w:r w:rsidRPr="00A63D72">
        <w:rPr>
          <w:rFonts w:ascii="Times New Roman" w:hAnsi="Times New Roman" w:cs="Times New Roman"/>
          <w:b/>
          <w:sz w:val="24"/>
          <w:szCs w:val="24"/>
          <w:shd w:val="clear" w:color="auto" w:fill="FFFFFF"/>
        </w:rPr>
        <w:t>Effects on Health Care Reimbursement</w:t>
      </w:r>
    </w:p>
    <w:p w:rsidR="00AD295B" w:rsidRPr="00A63D72" w:rsidRDefault="006F74AF" w:rsidP="00A63D72">
      <w:pPr>
        <w:ind w:firstLine="720"/>
        <w:rPr>
          <w:rFonts w:ascii="Times New Roman" w:hAnsi="Times New Roman" w:cs="Times New Roman"/>
          <w:noProof/>
          <w:sz w:val="24"/>
          <w:szCs w:val="24"/>
        </w:rPr>
      </w:pPr>
      <w:r w:rsidRPr="00A63D72">
        <w:rPr>
          <w:rFonts w:ascii="Times New Roman" w:hAnsi="Times New Roman" w:cs="Times New Roman"/>
          <w:sz w:val="24"/>
          <w:szCs w:val="24"/>
          <w:shd w:val="clear" w:color="auto" w:fill="FFFFFF"/>
        </w:rPr>
        <w:t>Enables the understanding of the revenue cycle</w:t>
      </w:r>
      <w:r w:rsidR="00745A7F" w:rsidRPr="00A63D72">
        <w:rPr>
          <w:rFonts w:ascii="Times New Roman" w:hAnsi="Times New Roman" w:cs="Times New Roman"/>
          <w:sz w:val="24"/>
          <w:szCs w:val="24"/>
          <w:shd w:val="clear" w:color="auto" w:fill="FFFFFF"/>
        </w:rPr>
        <w:t>,</w:t>
      </w:r>
      <w:r w:rsidRPr="00A63D72">
        <w:rPr>
          <w:rFonts w:ascii="Times New Roman" w:hAnsi="Times New Roman" w:cs="Times New Roman"/>
          <w:sz w:val="24"/>
          <w:szCs w:val="24"/>
          <w:shd w:val="clear" w:color="auto" w:fill="FFFFFF"/>
        </w:rPr>
        <w:t xml:space="preserve"> </w:t>
      </w:r>
      <w:r w:rsidR="00745A7F" w:rsidRPr="00A63D72">
        <w:rPr>
          <w:rFonts w:ascii="Times New Roman" w:hAnsi="Times New Roman" w:cs="Times New Roman"/>
          <w:sz w:val="24"/>
          <w:szCs w:val="24"/>
          <w:shd w:val="clear" w:color="auto" w:fill="FFFFFF"/>
        </w:rPr>
        <w:t>whereby the billing amounts assists in the comprehension of proper transaction procedures in health organizations. It provides an attractive environment within the organization for transparent operations (</w:t>
      </w:r>
      <w:r w:rsidR="00745A7F" w:rsidRPr="00A63D72">
        <w:rPr>
          <w:rFonts w:ascii="Times New Roman" w:hAnsi="Times New Roman" w:cs="Times New Roman"/>
          <w:noProof/>
          <w:sz w:val="24"/>
          <w:szCs w:val="24"/>
        </w:rPr>
        <w:t xml:space="preserve">Debra and DeLaet, 2015). </w:t>
      </w:r>
    </w:p>
    <w:p w:rsidR="00745A7F" w:rsidRPr="00A63D72" w:rsidRDefault="006F74AF" w:rsidP="00A63D72">
      <w:pPr>
        <w:rPr>
          <w:rFonts w:ascii="Times New Roman" w:hAnsi="Times New Roman" w:cs="Times New Roman"/>
          <w:sz w:val="24"/>
          <w:szCs w:val="24"/>
          <w:shd w:val="clear" w:color="auto" w:fill="FFFFFF"/>
        </w:rPr>
      </w:pPr>
      <w:r w:rsidRPr="00A63D72">
        <w:rPr>
          <w:rFonts w:ascii="Times New Roman" w:hAnsi="Times New Roman" w:cs="Times New Roman"/>
          <w:noProof/>
          <w:sz w:val="24"/>
          <w:szCs w:val="24"/>
        </w:rPr>
        <w:lastRenderedPageBreak/>
        <w:t xml:space="preserve">Secondly, it improves on the entire reimbursement claims. </w:t>
      </w:r>
      <w:r w:rsidR="00625199" w:rsidRPr="00A63D72">
        <w:rPr>
          <w:rFonts w:ascii="Times New Roman" w:hAnsi="Times New Roman" w:cs="Times New Roman"/>
          <w:noProof/>
          <w:sz w:val="24"/>
          <w:szCs w:val="24"/>
        </w:rPr>
        <w:t xml:space="preserve">The claims provided in the healthcare organizations are addressed in a timely manner, therefore, enabling the effective communication between involved parties. Finally, it has enhanced change in the payment care model. Experts are currently observing the long-term impacts associated with the new payment plan. The majority argues that it has stimulated the free-for-pay value payments in replacement of the previous </w:t>
      </w:r>
      <w:r w:rsidR="00A63D72" w:rsidRPr="00A63D72">
        <w:rPr>
          <w:rFonts w:ascii="Times New Roman" w:hAnsi="Times New Roman" w:cs="Times New Roman"/>
          <w:noProof/>
          <w:sz w:val="24"/>
          <w:szCs w:val="24"/>
        </w:rPr>
        <w:t xml:space="preserve">traditional (fee-for-service) programs </w:t>
      </w:r>
      <w:r w:rsidR="00A63D72" w:rsidRPr="00A63D72">
        <w:rPr>
          <w:rFonts w:ascii="Times New Roman" w:hAnsi="Times New Roman" w:cs="Times New Roman"/>
          <w:sz w:val="24"/>
          <w:szCs w:val="24"/>
          <w:shd w:val="clear" w:color="auto" w:fill="FFFFFF"/>
        </w:rPr>
        <w:t>(</w:t>
      </w:r>
      <w:r w:rsidR="00A63D72" w:rsidRPr="00A63D72">
        <w:rPr>
          <w:rFonts w:ascii="Times New Roman" w:hAnsi="Times New Roman" w:cs="Times New Roman"/>
          <w:noProof/>
          <w:sz w:val="24"/>
          <w:szCs w:val="24"/>
        </w:rPr>
        <w:t>Debra and DeLaet, 2015).</w:t>
      </w:r>
    </w:p>
    <w:p w:rsidR="00AD295B" w:rsidRPr="00A63D72" w:rsidRDefault="00AD295B" w:rsidP="00A63D72">
      <w:pPr>
        <w:pStyle w:val="NormalWeb"/>
        <w:spacing w:before="0" w:beforeAutospacing="0" w:after="0" w:afterAutospacing="0" w:line="480" w:lineRule="auto"/>
        <w:ind w:left="720"/>
        <w:jc w:val="both"/>
      </w:pPr>
    </w:p>
    <w:p w:rsidR="00AD295B" w:rsidRPr="00A63D72" w:rsidRDefault="006F74AF" w:rsidP="00A63D72">
      <w:pPr>
        <w:pStyle w:val="NormalWeb"/>
        <w:spacing w:before="0" w:beforeAutospacing="0" w:after="0" w:afterAutospacing="0" w:line="480" w:lineRule="auto"/>
        <w:jc w:val="both"/>
      </w:pPr>
      <w:r w:rsidRPr="00A63D72">
        <w:t> </w:t>
      </w:r>
    </w:p>
    <w:p w:rsidR="00AD295B" w:rsidRPr="00A63D72" w:rsidRDefault="00AD295B" w:rsidP="00A63D72">
      <w:pPr>
        <w:jc w:val="both"/>
        <w:rPr>
          <w:rFonts w:ascii="Times New Roman" w:hAnsi="Times New Roman" w:cs="Times New Roman"/>
          <w:sz w:val="24"/>
          <w:szCs w:val="24"/>
        </w:rPr>
      </w:pPr>
    </w:p>
    <w:p w:rsidR="00AD295B" w:rsidRPr="00A63D72" w:rsidRDefault="00AD295B" w:rsidP="00A63D72">
      <w:pPr>
        <w:jc w:val="both"/>
        <w:rPr>
          <w:rFonts w:ascii="Times New Roman" w:hAnsi="Times New Roman" w:cs="Times New Roman"/>
          <w:sz w:val="24"/>
          <w:szCs w:val="24"/>
        </w:rPr>
      </w:pPr>
    </w:p>
    <w:p w:rsidR="00AD295B" w:rsidRPr="00A63D72" w:rsidRDefault="00AD295B" w:rsidP="00A63D72">
      <w:pPr>
        <w:jc w:val="both"/>
        <w:rPr>
          <w:rFonts w:ascii="Times New Roman" w:hAnsi="Times New Roman" w:cs="Times New Roman"/>
          <w:sz w:val="24"/>
          <w:szCs w:val="24"/>
        </w:rPr>
      </w:pPr>
    </w:p>
    <w:p w:rsidR="00AD295B" w:rsidRPr="00A63D72" w:rsidRDefault="00AD295B" w:rsidP="00A63D72">
      <w:pPr>
        <w:jc w:val="both"/>
        <w:rPr>
          <w:rFonts w:ascii="Times New Roman" w:hAnsi="Times New Roman" w:cs="Times New Roman"/>
          <w:sz w:val="24"/>
          <w:szCs w:val="24"/>
        </w:rPr>
      </w:pPr>
    </w:p>
    <w:p w:rsidR="00AD295B" w:rsidRPr="00A63D72" w:rsidRDefault="00AD295B" w:rsidP="00A63D72">
      <w:pPr>
        <w:jc w:val="both"/>
        <w:rPr>
          <w:rFonts w:ascii="Times New Roman" w:hAnsi="Times New Roman" w:cs="Times New Roman"/>
          <w:sz w:val="24"/>
          <w:szCs w:val="24"/>
        </w:rPr>
      </w:pPr>
    </w:p>
    <w:p w:rsidR="00AD295B" w:rsidRPr="00A63D72" w:rsidRDefault="006F74AF" w:rsidP="00A63D72">
      <w:pPr>
        <w:rPr>
          <w:rFonts w:ascii="Times New Roman" w:hAnsi="Times New Roman" w:cs="Times New Roman"/>
          <w:sz w:val="24"/>
          <w:szCs w:val="24"/>
        </w:rPr>
      </w:pPr>
      <w:r w:rsidRPr="00A63D72">
        <w:rPr>
          <w:rFonts w:ascii="Times New Roman" w:hAnsi="Times New Roman" w:cs="Times New Roman"/>
          <w:sz w:val="24"/>
          <w:szCs w:val="24"/>
        </w:rPr>
        <w:br w:type="page"/>
      </w:r>
    </w:p>
    <w:sdt>
      <w:sdtPr>
        <w:rPr>
          <w:rFonts w:ascii="Times New Roman" w:eastAsiaTheme="minorHAnsi" w:hAnsi="Times New Roman" w:cs="Times New Roman"/>
          <w:b w:val="0"/>
          <w:bCs w:val="0"/>
          <w:color w:val="auto"/>
          <w:sz w:val="24"/>
          <w:szCs w:val="24"/>
          <w:lang w:bidi="ar-SA"/>
        </w:rPr>
        <w:id w:val="6921558"/>
        <w:docPartObj>
          <w:docPartGallery w:val="Bibliographies"/>
          <w:docPartUnique/>
        </w:docPartObj>
      </w:sdtPr>
      <w:sdtEndPr/>
      <w:sdtContent>
        <w:p w:rsidR="00AD295B" w:rsidRPr="00A63D72" w:rsidRDefault="006F74AF" w:rsidP="00A63D72">
          <w:pPr>
            <w:pStyle w:val="Heading1"/>
            <w:spacing w:line="480" w:lineRule="auto"/>
            <w:jc w:val="center"/>
            <w:rPr>
              <w:rFonts w:ascii="Times New Roman" w:hAnsi="Times New Roman" w:cs="Times New Roman"/>
              <w:color w:val="auto"/>
              <w:sz w:val="24"/>
              <w:szCs w:val="24"/>
            </w:rPr>
          </w:pPr>
          <w:r w:rsidRPr="00A63D72">
            <w:rPr>
              <w:rFonts w:ascii="Times New Roman" w:hAnsi="Times New Roman" w:cs="Times New Roman"/>
              <w:color w:val="auto"/>
              <w:sz w:val="24"/>
              <w:szCs w:val="24"/>
            </w:rPr>
            <w:t>References</w:t>
          </w:r>
        </w:p>
        <w:p w:rsidR="00924EB4" w:rsidRPr="00A63D72" w:rsidRDefault="006F74AF" w:rsidP="00A63D72">
          <w:pPr>
            <w:ind w:left="720" w:hanging="720"/>
            <w:rPr>
              <w:rFonts w:ascii="Times New Roman" w:hAnsi="Times New Roman" w:cs="Times New Roman"/>
              <w:sz w:val="24"/>
              <w:szCs w:val="24"/>
              <w:lang w:bidi="en-US"/>
            </w:rPr>
          </w:pPr>
          <w:r w:rsidRPr="00A63D72">
            <w:rPr>
              <w:rFonts w:ascii="Times New Roman" w:hAnsi="Times New Roman" w:cs="Times New Roman"/>
              <w:sz w:val="24"/>
              <w:szCs w:val="24"/>
              <w:lang w:bidi="en-US"/>
            </w:rPr>
            <w:t xml:space="preserve">Berg, M. (2004). </w:t>
          </w:r>
          <w:r w:rsidRPr="00A63D72">
            <w:rPr>
              <w:rFonts w:ascii="Times New Roman" w:hAnsi="Times New Roman" w:cs="Times New Roman"/>
              <w:i/>
              <w:sz w:val="24"/>
              <w:szCs w:val="24"/>
              <w:lang w:bidi="en-US"/>
            </w:rPr>
            <w:t>Health information management: integrating information technology in healthcare workers.</w:t>
          </w:r>
          <w:r w:rsidRPr="00A63D72">
            <w:rPr>
              <w:rFonts w:ascii="Times New Roman" w:hAnsi="Times New Roman" w:cs="Times New Roman"/>
              <w:sz w:val="24"/>
              <w:szCs w:val="24"/>
              <w:lang w:bidi="en-US"/>
            </w:rPr>
            <w:t xml:space="preserve"> London: Rutledge</w:t>
          </w:r>
        </w:p>
        <w:sdt>
          <w:sdtPr>
            <w:rPr>
              <w:rFonts w:ascii="Times New Roman" w:hAnsi="Times New Roman" w:cs="Times New Roman"/>
              <w:sz w:val="24"/>
              <w:szCs w:val="24"/>
            </w:rPr>
            <w:id w:val="111145805"/>
            <w:bibliography/>
          </w:sdtPr>
          <w:sdtEndPr/>
          <w:sdtContent>
            <w:p w:rsidR="00AD295B" w:rsidRPr="00A63D72" w:rsidRDefault="006F74AF" w:rsidP="00A63D72">
              <w:pPr>
                <w:pStyle w:val="Bibliography"/>
                <w:ind w:left="720" w:hanging="720"/>
                <w:jc w:val="both"/>
                <w:rPr>
                  <w:rFonts w:ascii="Times New Roman" w:hAnsi="Times New Roman" w:cs="Times New Roman"/>
                  <w:noProof/>
                  <w:sz w:val="24"/>
                  <w:szCs w:val="24"/>
                </w:rPr>
              </w:pPr>
              <w:r w:rsidRPr="00A63D72">
                <w:rPr>
                  <w:rFonts w:ascii="Times New Roman" w:hAnsi="Times New Roman" w:cs="Times New Roman"/>
                  <w:sz w:val="24"/>
                  <w:szCs w:val="24"/>
                </w:rPr>
                <w:fldChar w:fldCharType="begin"/>
              </w:r>
              <w:r w:rsidRPr="00A63D72">
                <w:rPr>
                  <w:rFonts w:ascii="Times New Roman" w:hAnsi="Times New Roman" w:cs="Times New Roman"/>
                  <w:sz w:val="24"/>
                  <w:szCs w:val="24"/>
                </w:rPr>
                <w:instrText xml:space="preserve"> BIBLIOGRAPHY </w:instrText>
              </w:r>
              <w:r w:rsidRPr="00A63D72">
                <w:rPr>
                  <w:rFonts w:ascii="Times New Roman" w:hAnsi="Times New Roman" w:cs="Times New Roman"/>
                  <w:sz w:val="24"/>
                  <w:szCs w:val="24"/>
                </w:rPr>
                <w:fldChar w:fldCharType="separate"/>
              </w:r>
              <w:r w:rsidRPr="00A63D72">
                <w:rPr>
                  <w:rFonts w:ascii="Times New Roman" w:hAnsi="Times New Roman" w:cs="Times New Roman"/>
                  <w:noProof/>
                  <w:sz w:val="24"/>
                  <w:szCs w:val="24"/>
                </w:rPr>
                <w:t xml:space="preserve">Debra L. DeLaet, D. E. (2015). </w:t>
              </w:r>
              <w:r w:rsidRPr="00A63D72">
                <w:rPr>
                  <w:rFonts w:ascii="Times New Roman" w:hAnsi="Times New Roman" w:cs="Times New Roman"/>
                  <w:iCs/>
                  <w:noProof/>
                  <w:sz w:val="24"/>
                  <w:szCs w:val="24"/>
                </w:rPr>
                <w:t>Global Health in the 21st Century: The Globalization of Disease and Wellness.</w:t>
              </w:r>
              <w:r w:rsidRPr="00A63D72">
                <w:rPr>
                  <w:rFonts w:ascii="Times New Roman" w:hAnsi="Times New Roman" w:cs="Times New Roman"/>
                  <w:noProof/>
                  <w:sz w:val="24"/>
                  <w:szCs w:val="24"/>
                </w:rPr>
                <w:t xml:space="preserve"> Routledge,</w:t>
              </w:r>
            </w:p>
            <w:p w:rsidR="00AD295B" w:rsidRPr="00A63D72" w:rsidRDefault="006F74AF" w:rsidP="00A63D72">
              <w:pPr>
                <w:ind w:left="720" w:hanging="720"/>
                <w:jc w:val="both"/>
                <w:rPr>
                  <w:rFonts w:ascii="Times New Roman" w:hAnsi="Times New Roman" w:cs="Times New Roman"/>
                  <w:sz w:val="24"/>
                  <w:szCs w:val="24"/>
                </w:rPr>
              </w:pPr>
              <w:r w:rsidRPr="00A63D72">
                <w:rPr>
                  <w:rFonts w:ascii="Times New Roman" w:hAnsi="Times New Roman" w:cs="Times New Roman"/>
                  <w:sz w:val="24"/>
                  <w:szCs w:val="24"/>
                </w:rPr>
                <w:fldChar w:fldCharType="end"/>
              </w:r>
            </w:p>
          </w:sdtContent>
        </w:sdt>
      </w:sdtContent>
    </w:sdt>
    <w:p w:rsidR="00AD295B" w:rsidRPr="00A63D72" w:rsidRDefault="00AD295B" w:rsidP="00A63D72">
      <w:pPr>
        <w:jc w:val="both"/>
        <w:rPr>
          <w:rFonts w:ascii="Times New Roman" w:hAnsi="Times New Roman" w:cs="Times New Roman"/>
          <w:sz w:val="24"/>
          <w:szCs w:val="24"/>
        </w:rPr>
      </w:pPr>
    </w:p>
    <w:sectPr w:rsidR="00AD295B" w:rsidRPr="00A63D72" w:rsidSect="00AD295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3C73" w:rsidRDefault="00013C73">
      <w:pPr>
        <w:spacing w:line="240" w:lineRule="auto"/>
      </w:pPr>
      <w:r>
        <w:separator/>
      </w:r>
    </w:p>
  </w:endnote>
  <w:endnote w:type="continuationSeparator" w:id="0">
    <w:p w:rsidR="00013C73" w:rsidRDefault="00013C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3C73" w:rsidRDefault="00013C73">
      <w:pPr>
        <w:spacing w:line="240" w:lineRule="auto"/>
      </w:pPr>
      <w:r>
        <w:separator/>
      </w:r>
    </w:p>
  </w:footnote>
  <w:footnote w:type="continuationSeparator" w:id="0">
    <w:p w:rsidR="00013C73" w:rsidRDefault="00013C7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95B" w:rsidRPr="00AD295B" w:rsidRDefault="006F74AF" w:rsidP="00AD295B">
    <w:pPr>
      <w:pStyle w:val="Header"/>
      <w:spacing w:line="480" w:lineRule="auto"/>
      <w:jc w:val="both"/>
      <w:rPr>
        <w:rFonts w:ascii="Times New Roman" w:hAnsi="Times New Roman" w:cs="Times New Roman"/>
        <w:sz w:val="24"/>
        <w:szCs w:val="24"/>
      </w:rPr>
    </w:pPr>
    <w:r w:rsidRPr="00AD295B">
      <w:rPr>
        <w:rFonts w:ascii="Times New Roman" w:hAnsi="Times New Roman" w:cs="Times New Roman"/>
        <w:sz w:val="24"/>
        <w:szCs w:val="24"/>
      </w:rPr>
      <w:t>BILLING WORKFLOW</w:t>
    </w:r>
    <w:sdt>
      <w:sdtPr>
        <w:rPr>
          <w:rFonts w:ascii="Times New Roman" w:hAnsi="Times New Roman" w:cs="Times New Roman"/>
          <w:sz w:val="24"/>
          <w:szCs w:val="24"/>
        </w:rPr>
        <w:id w:val="6921575"/>
        <w:docPartObj>
          <w:docPartGallery w:val="Page Numbers (Top of Page)"/>
          <w:docPartUnique/>
        </w:docPartObj>
      </w:sdtPr>
      <w:sdtEndPr/>
      <w:sdtContent>
        <w:r w:rsidR="00A52589">
          <w:rPr>
            <w:rFonts w:ascii="Times New Roman" w:hAnsi="Times New Roman" w:cs="Times New Roman"/>
            <w:sz w:val="24"/>
            <w:szCs w:val="24"/>
          </w:rPr>
          <w:t xml:space="preserve"> IN HEALTH CARE INSTITUTIONS</w:t>
        </w:r>
        <w:r>
          <w:rPr>
            <w:rFonts w:ascii="Times New Roman" w:hAnsi="Times New Roman" w:cs="Times New Roman"/>
            <w:sz w:val="24"/>
            <w:szCs w:val="24"/>
          </w:rPr>
          <w:tab/>
        </w:r>
        <w:r>
          <w:rPr>
            <w:rFonts w:ascii="Times New Roman" w:hAnsi="Times New Roman" w:cs="Times New Roman"/>
            <w:sz w:val="24"/>
            <w:szCs w:val="24"/>
          </w:rPr>
          <w:tab/>
        </w:r>
        <w:r w:rsidRPr="00AD295B">
          <w:rPr>
            <w:rFonts w:ascii="Times New Roman" w:hAnsi="Times New Roman" w:cs="Times New Roman"/>
            <w:sz w:val="24"/>
            <w:szCs w:val="24"/>
          </w:rPr>
          <w:fldChar w:fldCharType="begin"/>
        </w:r>
        <w:r w:rsidRPr="00AD295B">
          <w:rPr>
            <w:rFonts w:ascii="Times New Roman" w:hAnsi="Times New Roman" w:cs="Times New Roman"/>
            <w:sz w:val="24"/>
            <w:szCs w:val="24"/>
          </w:rPr>
          <w:instrText xml:space="preserve"> PAGE   \* MERGEFORMAT </w:instrText>
        </w:r>
        <w:r w:rsidRPr="00AD295B">
          <w:rPr>
            <w:rFonts w:ascii="Times New Roman" w:hAnsi="Times New Roman" w:cs="Times New Roman"/>
            <w:sz w:val="24"/>
            <w:szCs w:val="24"/>
          </w:rPr>
          <w:fldChar w:fldCharType="separate"/>
        </w:r>
        <w:r w:rsidR="00485018">
          <w:rPr>
            <w:rFonts w:ascii="Times New Roman" w:hAnsi="Times New Roman" w:cs="Times New Roman"/>
            <w:noProof/>
            <w:sz w:val="24"/>
            <w:szCs w:val="24"/>
          </w:rPr>
          <w:t>2</w:t>
        </w:r>
        <w:r w:rsidRPr="00AD295B">
          <w:rPr>
            <w:rFonts w:ascii="Times New Roman" w:hAnsi="Times New Roman" w:cs="Times New Roman"/>
            <w:sz w:val="24"/>
            <w:szCs w:val="24"/>
          </w:rPr>
          <w:fldChar w:fldCharType="end"/>
        </w:r>
      </w:sdtContent>
    </w:sdt>
  </w:p>
  <w:p w:rsidR="00AD295B" w:rsidRDefault="00AD29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95B" w:rsidRPr="00AD295B" w:rsidRDefault="006F74AF" w:rsidP="00A52589">
    <w:pPr>
      <w:pStyle w:val="Header"/>
      <w:spacing w:line="480" w:lineRule="auto"/>
      <w:jc w:val="both"/>
      <w:rPr>
        <w:rFonts w:ascii="Times New Roman" w:hAnsi="Times New Roman" w:cs="Times New Roman"/>
        <w:sz w:val="24"/>
        <w:szCs w:val="24"/>
      </w:rPr>
    </w:pPr>
    <w:r w:rsidRPr="00AD295B">
      <w:rPr>
        <w:rFonts w:ascii="Times New Roman" w:hAnsi="Times New Roman" w:cs="Times New Roman"/>
        <w:sz w:val="24"/>
        <w:szCs w:val="24"/>
      </w:rPr>
      <w:t>Running head: BILLING WORKFLOW</w:t>
    </w:r>
    <w:sdt>
      <w:sdtPr>
        <w:rPr>
          <w:rFonts w:ascii="Times New Roman" w:hAnsi="Times New Roman" w:cs="Times New Roman"/>
          <w:sz w:val="24"/>
          <w:szCs w:val="24"/>
        </w:rPr>
        <w:id w:val="6921598"/>
        <w:docPartObj>
          <w:docPartGallery w:val="Page Numbers (Top of Page)"/>
          <w:docPartUnique/>
        </w:docPartObj>
      </w:sdtPr>
      <w:sdtEndPr/>
      <w:sdtContent>
        <w:r w:rsidR="00A52589">
          <w:rPr>
            <w:rFonts w:ascii="Times New Roman" w:hAnsi="Times New Roman" w:cs="Times New Roman"/>
            <w:sz w:val="24"/>
            <w:szCs w:val="24"/>
          </w:rPr>
          <w:t xml:space="preserve"> IN HEALTH CARE</w:t>
        </w:r>
        <w:r>
          <w:rPr>
            <w:rFonts w:ascii="Times New Roman" w:hAnsi="Times New Roman" w:cs="Times New Roman"/>
            <w:sz w:val="24"/>
            <w:szCs w:val="24"/>
          </w:rPr>
          <w:tab/>
        </w:r>
        <w:r>
          <w:rPr>
            <w:rFonts w:ascii="Times New Roman" w:hAnsi="Times New Roman" w:cs="Times New Roman"/>
            <w:sz w:val="24"/>
            <w:szCs w:val="24"/>
          </w:rPr>
          <w:tab/>
        </w:r>
        <w:r w:rsidRPr="00AD295B">
          <w:rPr>
            <w:rFonts w:ascii="Times New Roman" w:hAnsi="Times New Roman" w:cs="Times New Roman"/>
            <w:sz w:val="24"/>
            <w:szCs w:val="24"/>
          </w:rPr>
          <w:fldChar w:fldCharType="begin"/>
        </w:r>
        <w:r w:rsidRPr="00AD295B">
          <w:rPr>
            <w:rFonts w:ascii="Times New Roman" w:hAnsi="Times New Roman" w:cs="Times New Roman"/>
            <w:sz w:val="24"/>
            <w:szCs w:val="24"/>
          </w:rPr>
          <w:instrText xml:space="preserve"> PAGE   \* MERGEFORMAT </w:instrText>
        </w:r>
        <w:r w:rsidRPr="00AD295B">
          <w:rPr>
            <w:rFonts w:ascii="Times New Roman" w:hAnsi="Times New Roman" w:cs="Times New Roman"/>
            <w:sz w:val="24"/>
            <w:szCs w:val="24"/>
          </w:rPr>
          <w:fldChar w:fldCharType="separate"/>
        </w:r>
        <w:r w:rsidR="00485018">
          <w:rPr>
            <w:rFonts w:ascii="Times New Roman" w:hAnsi="Times New Roman" w:cs="Times New Roman"/>
            <w:noProof/>
            <w:sz w:val="24"/>
            <w:szCs w:val="24"/>
          </w:rPr>
          <w:t>1</w:t>
        </w:r>
        <w:r w:rsidRPr="00AD295B">
          <w:rPr>
            <w:rFonts w:ascii="Times New Roman" w:hAnsi="Times New Roman" w:cs="Times New Roman"/>
            <w:sz w:val="24"/>
            <w:szCs w:val="24"/>
          </w:rPr>
          <w:fldChar w:fldCharType="end"/>
        </w:r>
      </w:sdtContent>
    </w:sdt>
  </w:p>
  <w:p w:rsidR="00AD295B" w:rsidRDefault="00AD29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7A22D6"/>
    <w:multiLevelType w:val="hybridMultilevel"/>
    <w:tmpl w:val="6790604A"/>
    <w:lvl w:ilvl="0" w:tplc="BC2C9A98">
      <w:start w:val="1"/>
      <w:numFmt w:val="bullet"/>
      <w:lvlText w:val=""/>
      <w:lvlJc w:val="left"/>
      <w:pPr>
        <w:ind w:left="720" w:hanging="360"/>
      </w:pPr>
      <w:rPr>
        <w:rFonts w:ascii="Wingdings" w:hAnsi="Wingdings" w:hint="default"/>
      </w:rPr>
    </w:lvl>
    <w:lvl w:ilvl="1" w:tplc="60D2F12A" w:tentative="1">
      <w:start w:val="1"/>
      <w:numFmt w:val="bullet"/>
      <w:lvlText w:val="o"/>
      <w:lvlJc w:val="left"/>
      <w:pPr>
        <w:ind w:left="1440" w:hanging="360"/>
      </w:pPr>
      <w:rPr>
        <w:rFonts w:ascii="Courier New" w:hAnsi="Courier New" w:cs="Courier New" w:hint="default"/>
      </w:rPr>
    </w:lvl>
    <w:lvl w:ilvl="2" w:tplc="784A4C40" w:tentative="1">
      <w:start w:val="1"/>
      <w:numFmt w:val="bullet"/>
      <w:lvlText w:val=""/>
      <w:lvlJc w:val="left"/>
      <w:pPr>
        <w:ind w:left="2160" w:hanging="360"/>
      </w:pPr>
      <w:rPr>
        <w:rFonts w:ascii="Wingdings" w:hAnsi="Wingdings" w:hint="default"/>
      </w:rPr>
    </w:lvl>
    <w:lvl w:ilvl="3" w:tplc="91364834" w:tentative="1">
      <w:start w:val="1"/>
      <w:numFmt w:val="bullet"/>
      <w:lvlText w:val=""/>
      <w:lvlJc w:val="left"/>
      <w:pPr>
        <w:ind w:left="2880" w:hanging="360"/>
      </w:pPr>
      <w:rPr>
        <w:rFonts w:ascii="Symbol" w:hAnsi="Symbol" w:hint="default"/>
      </w:rPr>
    </w:lvl>
    <w:lvl w:ilvl="4" w:tplc="7326EA36" w:tentative="1">
      <w:start w:val="1"/>
      <w:numFmt w:val="bullet"/>
      <w:lvlText w:val="o"/>
      <w:lvlJc w:val="left"/>
      <w:pPr>
        <w:ind w:left="3600" w:hanging="360"/>
      </w:pPr>
      <w:rPr>
        <w:rFonts w:ascii="Courier New" w:hAnsi="Courier New" w:cs="Courier New" w:hint="default"/>
      </w:rPr>
    </w:lvl>
    <w:lvl w:ilvl="5" w:tplc="9CE8E748" w:tentative="1">
      <w:start w:val="1"/>
      <w:numFmt w:val="bullet"/>
      <w:lvlText w:val=""/>
      <w:lvlJc w:val="left"/>
      <w:pPr>
        <w:ind w:left="4320" w:hanging="360"/>
      </w:pPr>
      <w:rPr>
        <w:rFonts w:ascii="Wingdings" w:hAnsi="Wingdings" w:hint="default"/>
      </w:rPr>
    </w:lvl>
    <w:lvl w:ilvl="6" w:tplc="33BC1A72" w:tentative="1">
      <w:start w:val="1"/>
      <w:numFmt w:val="bullet"/>
      <w:lvlText w:val=""/>
      <w:lvlJc w:val="left"/>
      <w:pPr>
        <w:ind w:left="5040" w:hanging="360"/>
      </w:pPr>
      <w:rPr>
        <w:rFonts w:ascii="Symbol" w:hAnsi="Symbol" w:hint="default"/>
      </w:rPr>
    </w:lvl>
    <w:lvl w:ilvl="7" w:tplc="E9BC92FA" w:tentative="1">
      <w:start w:val="1"/>
      <w:numFmt w:val="bullet"/>
      <w:lvlText w:val="o"/>
      <w:lvlJc w:val="left"/>
      <w:pPr>
        <w:ind w:left="5760" w:hanging="360"/>
      </w:pPr>
      <w:rPr>
        <w:rFonts w:ascii="Courier New" w:hAnsi="Courier New" w:cs="Courier New" w:hint="default"/>
      </w:rPr>
    </w:lvl>
    <w:lvl w:ilvl="8" w:tplc="00EA4C32" w:tentative="1">
      <w:start w:val="1"/>
      <w:numFmt w:val="bullet"/>
      <w:lvlText w:val=""/>
      <w:lvlJc w:val="left"/>
      <w:pPr>
        <w:ind w:left="6480" w:hanging="360"/>
      </w:pPr>
      <w:rPr>
        <w:rFonts w:ascii="Wingdings" w:hAnsi="Wingdings" w:hint="default"/>
      </w:rPr>
    </w:lvl>
  </w:abstractNum>
  <w:abstractNum w:abstractNumId="1">
    <w:nsid w:val="47E43202"/>
    <w:multiLevelType w:val="multilevel"/>
    <w:tmpl w:val="869A5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DD04E43"/>
    <w:multiLevelType w:val="hybridMultilevel"/>
    <w:tmpl w:val="59C666D4"/>
    <w:lvl w:ilvl="0" w:tplc="2620E91E">
      <w:start w:val="1"/>
      <w:numFmt w:val="bullet"/>
      <w:lvlText w:val=""/>
      <w:lvlJc w:val="left"/>
      <w:pPr>
        <w:ind w:left="720" w:hanging="360"/>
      </w:pPr>
      <w:rPr>
        <w:rFonts w:ascii="Wingdings" w:hAnsi="Wingdings" w:hint="default"/>
      </w:rPr>
    </w:lvl>
    <w:lvl w:ilvl="1" w:tplc="E00CCAFC" w:tentative="1">
      <w:start w:val="1"/>
      <w:numFmt w:val="bullet"/>
      <w:lvlText w:val="o"/>
      <w:lvlJc w:val="left"/>
      <w:pPr>
        <w:ind w:left="1440" w:hanging="360"/>
      </w:pPr>
      <w:rPr>
        <w:rFonts w:ascii="Courier New" w:hAnsi="Courier New" w:cs="Courier New" w:hint="default"/>
      </w:rPr>
    </w:lvl>
    <w:lvl w:ilvl="2" w:tplc="CF66F892" w:tentative="1">
      <w:start w:val="1"/>
      <w:numFmt w:val="bullet"/>
      <w:lvlText w:val=""/>
      <w:lvlJc w:val="left"/>
      <w:pPr>
        <w:ind w:left="2160" w:hanging="360"/>
      </w:pPr>
      <w:rPr>
        <w:rFonts w:ascii="Wingdings" w:hAnsi="Wingdings" w:hint="default"/>
      </w:rPr>
    </w:lvl>
    <w:lvl w:ilvl="3" w:tplc="89D42400" w:tentative="1">
      <w:start w:val="1"/>
      <w:numFmt w:val="bullet"/>
      <w:lvlText w:val=""/>
      <w:lvlJc w:val="left"/>
      <w:pPr>
        <w:ind w:left="2880" w:hanging="360"/>
      </w:pPr>
      <w:rPr>
        <w:rFonts w:ascii="Symbol" w:hAnsi="Symbol" w:hint="default"/>
      </w:rPr>
    </w:lvl>
    <w:lvl w:ilvl="4" w:tplc="5E3EF7E8" w:tentative="1">
      <w:start w:val="1"/>
      <w:numFmt w:val="bullet"/>
      <w:lvlText w:val="o"/>
      <w:lvlJc w:val="left"/>
      <w:pPr>
        <w:ind w:left="3600" w:hanging="360"/>
      </w:pPr>
      <w:rPr>
        <w:rFonts w:ascii="Courier New" w:hAnsi="Courier New" w:cs="Courier New" w:hint="default"/>
      </w:rPr>
    </w:lvl>
    <w:lvl w:ilvl="5" w:tplc="2BCA295E" w:tentative="1">
      <w:start w:val="1"/>
      <w:numFmt w:val="bullet"/>
      <w:lvlText w:val=""/>
      <w:lvlJc w:val="left"/>
      <w:pPr>
        <w:ind w:left="4320" w:hanging="360"/>
      </w:pPr>
      <w:rPr>
        <w:rFonts w:ascii="Wingdings" w:hAnsi="Wingdings" w:hint="default"/>
      </w:rPr>
    </w:lvl>
    <w:lvl w:ilvl="6" w:tplc="420426BC" w:tentative="1">
      <w:start w:val="1"/>
      <w:numFmt w:val="bullet"/>
      <w:lvlText w:val=""/>
      <w:lvlJc w:val="left"/>
      <w:pPr>
        <w:ind w:left="5040" w:hanging="360"/>
      </w:pPr>
      <w:rPr>
        <w:rFonts w:ascii="Symbol" w:hAnsi="Symbol" w:hint="default"/>
      </w:rPr>
    </w:lvl>
    <w:lvl w:ilvl="7" w:tplc="3C588A22" w:tentative="1">
      <w:start w:val="1"/>
      <w:numFmt w:val="bullet"/>
      <w:lvlText w:val="o"/>
      <w:lvlJc w:val="left"/>
      <w:pPr>
        <w:ind w:left="5760" w:hanging="360"/>
      </w:pPr>
      <w:rPr>
        <w:rFonts w:ascii="Courier New" w:hAnsi="Courier New" w:cs="Courier New" w:hint="default"/>
      </w:rPr>
    </w:lvl>
    <w:lvl w:ilvl="8" w:tplc="BA18B060"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rEwMzUztTQwNjAwNTNX0lEKTi0uzszPAykwrAUAQmlhUSwAAAA="/>
  </w:docVars>
  <w:rsids>
    <w:rsidRoot w:val="00AD295B"/>
    <w:rsid w:val="00013C73"/>
    <w:rsid w:val="00016065"/>
    <w:rsid w:val="00017ED7"/>
    <w:rsid w:val="00043C1B"/>
    <w:rsid w:val="000454D8"/>
    <w:rsid w:val="0005160B"/>
    <w:rsid w:val="00055011"/>
    <w:rsid w:val="00056656"/>
    <w:rsid w:val="00091919"/>
    <w:rsid w:val="00091ABC"/>
    <w:rsid w:val="00093DCD"/>
    <w:rsid w:val="000A09CD"/>
    <w:rsid w:val="000A6361"/>
    <w:rsid w:val="000A7CE2"/>
    <w:rsid w:val="000B0A46"/>
    <w:rsid w:val="000C29C4"/>
    <w:rsid w:val="000C44C9"/>
    <w:rsid w:val="000D4262"/>
    <w:rsid w:val="000D453A"/>
    <w:rsid w:val="000E7723"/>
    <w:rsid w:val="000F1D03"/>
    <w:rsid w:val="00102AA8"/>
    <w:rsid w:val="00110754"/>
    <w:rsid w:val="00121284"/>
    <w:rsid w:val="00121A34"/>
    <w:rsid w:val="001343D4"/>
    <w:rsid w:val="0015099F"/>
    <w:rsid w:val="00150BAA"/>
    <w:rsid w:val="001511CB"/>
    <w:rsid w:val="001620EA"/>
    <w:rsid w:val="001628F9"/>
    <w:rsid w:val="00164BD6"/>
    <w:rsid w:val="001662E5"/>
    <w:rsid w:val="00176D4F"/>
    <w:rsid w:val="00177FE2"/>
    <w:rsid w:val="001A513C"/>
    <w:rsid w:val="001C4C26"/>
    <w:rsid w:val="001F0281"/>
    <w:rsid w:val="00200E2C"/>
    <w:rsid w:val="0020322F"/>
    <w:rsid w:val="00204FC7"/>
    <w:rsid w:val="00223692"/>
    <w:rsid w:val="00223B1D"/>
    <w:rsid w:val="0023165E"/>
    <w:rsid w:val="002541DA"/>
    <w:rsid w:val="0026196E"/>
    <w:rsid w:val="00261BD1"/>
    <w:rsid w:val="002A33FD"/>
    <w:rsid w:val="002C3DD2"/>
    <w:rsid w:val="002D5D43"/>
    <w:rsid w:val="002E2754"/>
    <w:rsid w:val="00306D74"/>
    <w:rsid w:val="003241B4"/>
    <w:rsid w:val="00346507"/>
    <w:rsid w:val="00377439"/>
    <w:rsid w:val="00380210"/>
    <w:rsid w:val="003822DA"/>
    <w:rsid w:val="003878C7"/>
    <w:rsid w:val="0039671A"/>
    <w:rsid w:val="003B53A7"/>
    <w:rsid w:val="003B6E94"/>
    <w:rsid w:val="003E232D"/>
    <w:rsid w:val="003F0C3A"/>
    <w:rsid w:val="003F3D4A"/>
    <w:rsid w:val="00404402"/>
    <w:rsid w:val="004158C1"/>
    <w:rsid w:val="00426E0B"/>
    <w:rsid w:val="00427D55"/>
    <w:rsid w:val="00430046"/>
    <w:rsid w:val="0043547C"/>
    <w:rsid w:val="00440A3A"/>
    <w:rsid w:val="004417B6"/>
    <w:rsid w:val="0045642A"/>
    <w:rsid w:val="0046017F"/>
    <w:rsid w:val="004607A1"/>
    <w:rsid w:val="004648E9"/>
    <w:rsid w:val="00484A16"/>
    <w:rsid w:val="00485018"/>
    <w:rsid w:val="004877E8"/>
    <w:rsid w:val="004936FA"/>
    <w:rsid w:val="00497FF6"/>
    <w:rsid w:val="004A5C73"/>
    <w:rsid w:val="004D1933"/>
    <w:rsid w:val="004D324A"/>
    <w:rsid w:val="004E60DF"/>
    <w:rsid w:val="004F46AD"/>
    <w:rsid w:val="004F6AAE"/>
    <w:rsid w:val="00511832"/>
    <w:rsid w:val="00513725"/>
    <w:rsid w:val="005213EC"/>
    <w:rsid w:val="0053311B"/>
    <w:rsid w:val="005466A1"/>
    <w:rsid w:val="00566426"/>
    <w:rsid w:val="00573A18"/>
    <w:rsid w:val="00584899"/>
    <w:rsid w:val="00595F1E"/>
    <w:rsid w:val="005A1A4C"/>
    <w:rsid w:val="005A2084"/>
    <w:rsid w:val="005A4B66"/>
    <w:rsid w:val="005B7823"/>
    <w:rsid w:val="005F14BE"/>
    <w:rsid w:val="005F4204"/>
    <w:rsid w:val="00607861"/>
    <w:rsid w:val="0062513C"/>
    <w:rsid w:val="00625199"/>
    <w:rsid w:val="00632532"/>
    <w:rsid w:val="00651452"/>
    <w:rsid w:val="00652045"/>
    <w:rsid w:val="006572E9"/>
    <w:rsid w:val="00661A00"/>
    <w:rsid w:val="0066665D"/>
    <w:rsid w:val="00682F64"/>
    <w:rsid w:val="006979E2"/>
    <w:rsid w:val="006B41A7"/>
    <w:rsid w:val="006C7BC0"/>
    <w:rsid w:val="006D360E"/>
    <w:rsid w:val="006E4915"/>
    <w:rsid w:val="006F3EAE"/>
    <w:rsid w:val="006F74AF"/>
    <w:rsid w:val="00702102"/>
    <w:rsid w:val="007050BA"/>
    <w:rsid w:val="00706F11"/>
    <w:rsid w:val="00712DD9"/>
    <w:rsid w:val="00745A7F"/>
    <w:rsid w:val="007477B9"/>
    <w:rsid w:val="00751CBB"/>
    <w:rsid w:val="00752608"/>
    <w:rsid w:val="007B1B13"/>
    <w:rsid w:val="007C4E1E"/>
    <w:rsid w:val="007F0E62"/>
    <w:rsid w:val="0080083E"/>
    <w:rsid w:val="0081457B"/>
    <w:rsid w:val="00817C4F"/>
    <w:rsid w:val="00827C17"/>
    <w:rsid w:val="00832334"/>
    <w:rsid w:val="00834C4E"/>
    <w:rsid w:val="00835CEA"/>
    <w:rsid w:val="00836CF2"/>
    <w:rsid w:val="00836DDC"/>
    <w:rsid w:val="00844AEF"/>
    <w:rsid w:val="00847CE6"/>
    <w:rsid w:val="00857C47"/>
    <w:rsid w:val="00862E72"/>
    <w:rsid w:val="008665C3"/>
    <w:rsid w:val="00891321"/>
    <w:rsid w:val="00894A19"/>
    <w:rsid w:val="008968A1"/>
    <w:rsid w:val="008A3837"/>
    <w:rsid w:val="008A5865"/>
    <w:rsid w:val="008B7AFE"/>
    <w:rsid w:val="008F2845"/>
    <w:rsid w:val="009016FA"/>
    <w:rsid w:val="009041E3"/>
    <w:rsid w:val="00904FA1"/>
    <w:rsid w:val="00912545"/>
    <w:rsid w:val="009212E2"/>
    <w:rsid w:val="00924EB4"/>
    <w:rsid w:val="00926C3D"/>
    <w:rsid w:val="009339CF"/>
    <w:rsid w:val="0096449A"/>
    <w:rsid w:val="009B09A2"/>
    <w:rsid w:val="009B7C76"/>
    <w:rsid w:val="009E4AA8"/>
    <w:rsid w:val="009F14F9"/>
    <w:rsid w:val="009F3EDD"/>
    <w:rsid w:val="00A0036D"/>
    <w:rsid w:val="00A177E6"/>
    <w:rsid w:val="00A251A3"/>
    <w:rsid w:val="00A4184D"/>
    <w:rsid w:val="00A42F95"/>
    <w:rsid w:val="00A442B6"/>
    <w:rsid w:val="00A46614"/>
    <w:rsid w:val="00A50CEA"/>
    <w:rsid w:val="00A51E97"/>
    <w:rsid w:val="00A52589"/>
    <w:rsid w:val="00A63D72"/>
    <w:rsid w:val="00A80A2D"/>
    <w:rsid w:val="00A838A2"/>
    <w:rsid w:val="00A9169E"/>
    <w:rsid w:val="00A93152"/>
    <w:rsid w:val="00A974B1"/>
    <w:rsid w:val="00AA0005"/>
    <w:rsid w:val="00AA38E8"/>
    <w:rsid w:val="00AC2516"/>
    <w:rsid w:val="00AD295B"/>
    <w:rsid w:val="00AE09B0"/>
    <w:rsid w:val="00AE10A0"/>
    <w:rsid w:val="00AE1A05"/>
    <w:rsid w:val="00AE6A3F"/>
    <w:rsid w:val="00B00214"/>
    <w:rsid w:val="00B00477"/>
    <w:rsid w:val="00B33E5F"/>
    <w:rsid w:val="00B34390"/>
    <w:rsid w:val="00B51C1C"/>
    <w:rsid w:val="00B65642"/>
    <w:rsid w:val="00B93BC4"/>
    <w:rsid w:val="00BA4AE8"/>
    <w:rsid w:val="00BB61C9"/>
    <w:rsid w:val="00BB63D6"/>
    <w:rsid w:val="00BD6D77"/>
    <w:rsid w:val="00BF3AAB"/>
    <w:rsid w:val="00C308C0"/>
    <w:rsid w:val="00C417B9"/>
    <w:rsid w:val="00C5114A"/>
    <w:rsid w:val="00C56BFD"/>
    <w:rsid w:val="00C61741"/>
    <w:rsid w:val="00C94607"/>
    <w:rsid w:val="00CA0059"/>
    <w:rsid w:val="00CA11DD"/>
    <w:rsid w:val="00CB15B9"/>
    <w:rsid w:val="00CB7CB1"/>
    <w:rsid w:val="00CC1081"/>
    <w:rsid w:val="00CC372F"/>
    <w:rsid w:val="00CD43BB"/>
    <w:rsid w:val="00D00801"/>
    <w:rsid w:val="00D036F2"/>
    <w:rsid w:val="00D0399A"/>
    <w:rsid w:val="00D14DDA"/>
    <w:rsid w:val="00D26A73"/>
    <w:rsid w:val="00D43488"/>
    <w:rsid w:val="00D5109D"/>
    <w:rsid w:val="00D677C4"/>
    <w:rsid w:val="00D72065"/>
    <w:rsid w:val="00D744AE"/>
    <w:rsid w:val="00D813BA"/>
    <w:rsid w:val="00DA09F4"/>
    <w:rsid w:val="00DA4EE6"/>
    <w:rsid w:val="00DA50D3"/>
    <w:rsid w:val="00DC6F27"/>
    <w:rsid w:val="00DD5A09"/>
    <w:rsid w:val="00DF1892"/>
    <w:rsid w:val="00DF7C8D"/>
    <w:rsid w:val="00E03CC6"/>
    <w:rsid w:val="00E2366F"/>
    <w:rsid w:val="00E273A8"/>
    <w:rsid w:val="00E5457F"/>
    <w:rsid w:val="00E92BAF"/>
    <w:rsid w:val="00E95CD8"/>
    <w:rsid w:val="00EA7D09"/>
    <w:rsid w:val="00EB0283"/>
    <w:rsid w:val="00EB09FE"/>
    <w:rsid w:val="00EB0C2E"/>
    <w:rsid w:val="00EC5D6F"/>
    <w:rsid w:val="00ED152A"/>
    <w:rsid w:val="00EF4A5E"/>
    <w:rsid w:val="00F01E2D"/>
    <w:rsid w:val="00F04C6E"/>
    <w:rsid w:val="00F06484"/>
    <w:rsid w:val="00F13DFE"/>
    <w:rsid w:val="00F17F32"/>
    <w:rsid w:val="00F36443"/>
    <w:rsid w:val="00F37240"/>
    <w:rsid w:val="00F44447"/>
    <w:rsid w:val="00F5030B"/>
    <w:rsid w:val="00F6411B"/>
    <w:rsid w:val="00F818BD"/>
    <w:rsid w:val="00F82F10"/>
    <w:rsid w:val="00F842DA"/>
    <w:rsid w:val="00FA0AB0"/>
    <w:rsid w:val="00FA1F30"/>
    <w:rsid w:val="00FB04AC"/>
    <w:rsid w:val="00FB38AE"/>
    <w:rsid w:val="00FC27A0"/>
    <w:rsid w:val="00FC57F4"/>
    <w:rsid w:val="00FC6ECE"/>
    <w:rsid w:val="00FC78BB"/>
    <w:rsid w:val="00FD3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5DAEF7-1AA1-49EF-BA7C-D581B6F75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5D6F"/>
  </w:style>
  <w:style w:type="paragraph" w:styleId="Heading1">
    <w:name w:val="heading 1"/>
    <w:basedOn w:val="Normal"/>
    <w:next w:val="Normal"/>
    <w:link w:val="Heading1Char"/>
    <w:uiPriority w:val="9"/>
    <w:qFormat/>
    <w:rsid w:val="00AD295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D29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D295B"/>
  </w:style>
  <w:style w:type="character" w:styleId="Hyperlink">
    <w:name w:val="Hyperlink"/>
    <w:basedOn w:val="DefaultParagraphFont"/>
    <w:uiPriority w:val="99"/>
    <w:semiHidden/>
    <w:unhideWhenUsed/>
    <w:rsid w:val="00AD295B"/>
    <w:rPr>
      <w:color w:val="0000FF"/>
      <w:u w:val="single"/>
    </w:rPr>
  </w:style>
  <w:style w:type="paragraph" w:styleId="BalloonText">
    <w:name w:val="Balloon Text"/>
    <w:basedOn w:val="Normal"/>
    <w:link w:val="BalloonTextChar"/>
    <w:uiPriority w:val="99"/>
    <w:semiHidden/>
    <w:unhideWhenUsed/>
    <w:rsid w:val="00AD295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95B"/>
    <w:rPr>
      <w:rFonts w:ascii="Tahoma" w:hAnsi="Tahoma" w:cs="Tahoma"/>
      <w:sz w:val="16"/>
      <w:szCs w:val="16"/>
    </w:rPr>
  </w:style>
  <w:style w:type="character" w:customStyle="1" w:styleId="Heading1Char">
    <w:name w:val="Heading 1 Char"/>
    <w:basedOn w:val="DefaultParagraphFont"/>
    <w:link w:val="Heading1"/>
    <w:uiPriority w:val="9"/>
    <w:rsid w:val="00AD295B"/>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D295B"/>
  </w:style>
  <w:style w:type="paragraph" w:styleId="Header">
    <w:name w:val="header"/>
    <w:basedOn w:val="Normal"/>
    <w:link w:val="HeaderChar"/>
    <w:uiPriority w:val="99"/>
    <w:unhideWhenUsed/>
    <w:rsid w:val="00AD295B"/>
    <w:pPr>
      <w:tabs>
        <w:tab w:val="center" w:pos="4680"/>
        <w:tab w:val="right" w:pos="9360"/>
      </w:tabs>
      <w:spacing w:line="240" w:lineRule="auto"/>
    </w:pPr>
  </w:style>
  <w:style w:type="character" w:customStyle="1" w:styleId="HeaderChar">
    <w:name w:val="Header Char"/>
    <w:basedOn w:val="DefaultParagraphFont"/>
    <w:link w:val="Header"/>
    <w:uiPriority w:val="99"/>
    <w:rsid w:val="00AD295B"/>
  </w:style>
  <w:style w:type="paragraph" w:styleId="Footer">
    <w:name w:val="footer"/>
    <w:basedOn w:val="Normal"/>
    <w:link w:val="FooterChar"/>
    <w:uiPriority w:val="99"/>
    <w:unhideWhenUsed/>
    <w:rsid w:val="00AD295B"/>
    <w:pPr>
      <w:tabs>
        <w:tab w:val="center" w:pos="4680"/>
        <w:tab w:val="right" w:pos="9360"/>
      </w:tabs>
      <w:spacing w:line="240" w:lineRule="auto"/>
    </w:pPr>
  </w:style>
  <w:style w:type="character" w:customStyle="1" w:styleId="FooterChar">
    <w:name w:val="Footer Char"/>
    <w:basedOn w:val="DefaultParagraphFont"/>
    <w:link w:val="Footer"/>
    <w:uiPriority w:val="99"/>
    <w:rsid w:val="00AD295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Ulr09</b:Tag>
    <b:SourceType>Book</b:SourceType>
    <b:Guid>{BE8E449E-4234-4D64-B5E5-94DF8285C891}</b:Guid>
    <b:Author>
      <b:Author>
        <b:NameList>
          <b:Person>
            <b:Last>Ulric Gelinas</b:Last>
            <b:First>Richard</b:First>
            <b:Middle>Dull</b:Middle>
          </b:Person>
        </b:NameList>
      </b:Author>
    </b:Author>
    <b:Title>Accounting Information Systems</b:Title>
    <b:Year>2009</b:Year>
    <b:Publisher>Cengage Learning</b:Publisher>
    <b:RefOrder>1</b:RefOrder>
  </b:Source>
  <b:Source>
    <b:Tag>Juv05</b:Tag>
    <b:SourceType>Book</b:SourceType>
    <b:Guid>{38C2A09D-1C67-4D5D-B761-C0426D00235A}</b:Guid>
    <b:Author>
      <b:Author>
        <b:NameList>
          <b:Person>
            <b:Last>Lowy</b:Last>
            <b:First>Juval</b:First>
          </b:Person>
        </b:NameList>
      </b:Author>
    </b:Author>
    <b:Title>Programming .NET Components: Design and Build .NET Applications Using Component-Oriented Programming</b:Title>
    <b:Year>2005</b:Year>
    <b:Publisher>O'Reilly Media, Inc.</b:Publisher>
    <b:RefOrder>2</b:RefOrder>
  </b:Source>
  <b:Source>
    <b:Tag>Deb15</b:Tag>
    <b:SourceType>Book</b:SourceType>
    <b:Guid>{D471EE3B-1EF2-49D9-A6B3-747CD0D5353F}</b:Guid>
    <b:Author>
      <b:Author>
        <b:NameList>
          <b:Person>
            <b:Last>Debra L. DeLaet</b:Last>
            <b:First>David</b:First>
            <b:Middle>E. DeLaet</b:Middle>
          </b:Person>
        </b:NameList>
      </b:Author>
    </b:Author>
    <b:Title>Global Health in the 21st Century: The Globalization of Disease and Wellness</b:Title>
    <b:Year>2015</b:Year>
    <b:Publisher>Routledge, </b:Publisher>
    <b:RefOrder>3</b:RefOrder>
  </b:Source>
</b:Sources>
</file>

<file path=customXml/itemProps1.xml><?xml version="1.0" encoding="utf-8"?>
<ds:datastoreItem xmlns:ds="http://schemas.openxmlformats.org/officeDocument/2006/customXml" ds:itemID="{7E3D2A57-23C7-4C87-AD9D-4B2576CF1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abc</dc:creator>
  <cp:lastModifiedBy>Prof Scofied</cp:lastModifiedBy>
  <cp:revision>2</cp:revision>
  <dcterms:created xsi:type="dcterms:W3CDTF">2018-08-13T12:36:00Z</dcterms:created>
  <dcterms:modified xsi:type="dcterms:W3CDTF">2018-08-13T12:36:00Z</dcterms:modified>
</cp:coreProperties>
</file>